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F790" w14:textId="77777777" w:rsidR="007B6F6E" w:rsidRDefault="007B6F6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6C4D39C9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b/>
          <w:sz w:val="28"/>
          <w:szCs w:val="28"/>
          <w:highlight w:val="green"/>
        </w:rPr>
      </w:pPr>
      <w:r>
        <w:rPr>
          <w:rFonts w:ascii="Verdana" w:eastAsia="Verdana" w:hAnsi="Verdana" w:cs="Verdana"/>
          <w:sz w:val="28"/>
          <w:szCs w:val="28"/>
          <w:highlight w:val="green"/>
        </w:rPr>
        <w:t xml:space="preserve">Ontwerp: </w:t>
      </w:r>
      <w:r>
        <w:rPr>
          <w:rFonts w:ascii="Verdana" w:eastAsia="Verdana" w:hAnsi="Verdana" w:cs="Verdana"/>
          <w:sz w:val="18"/>
          <w:szCs w:val="18"/>
          <w:highlight w:val="green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  <w:highlight w:val="green"/>
        </w:rPr>
        <w:t>GOEDKEURING</w:t>
      </w:r>
    </w:p>
    <w:p w14:paraId="69AEB234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DF75B2A" w14:textId="77777777" w:rsidR="007B6F6E" w:rsidRDefault="000E3F8B">
      <w:pPr>
        <w:spacing w:after="0" w:line="240" w:lineRule="auto"/>
        <w:rPr>
          <w:rFonts w:ascii="Verdana-Bold" w:eastAsia="Verdana-Bold" w:hAnsi="Verdana-Bold" w:cs="Verdana-Bold"/>
          <w:b/>
          <w:sz w:val="24"/>
          <w:szCs w:val="24"/>
        </w:rPr>
      </w:pPr>
      <w:r>
        <w:rPr>
          <w:rFonts w:ascii="Verdana-Bold" w:eastAsia="Verdana-Bold" w:hAnsi="Verdana-Bold" w:cs="Verdana-Bold"/>
          <w:b/>
          <w:sz w:val="24"/>
          <w:szCs w:val="24"/>
        </w:rPr>
        <w:t>Indien Gemeente: College van Burgemeester en Schepenen (CBS) EN/ OF Gemeenteraad (GR)</w:t>
      </w:r>
    </w:p>
    <w:p w14:paraId="45715823" w14:textId="77777777" w:rsidR="007B6F6E" w:rsidRDefault="000E3F8B">
      <w:pPr>
        <w:spacing w:after="0" w:line="240" w:lineRule="auto"/>
        <w:rPr>
          <w:rFonts w:ascii="Verdana-Bold" w:eastAsia="Verdana-Bold" w:hAnsi="Verdana-Bold" w:cs="Verdana-Bold"/>
          <w:b/>
          <w:sz w:val="24"/>
          <w:szCs w:val="24"/>
        </w:rPr>
      </w:pPr>
      <w:r>
        <w:rPr>
          <w:rFonts w:ascii="Verdana-Bold" w:eastAsia="Verdana-Bold" w:hAnsi="Verdana-Bold" w:cs="Verdana-Bold"/>
          <w:b/>
          <w:sz w:val="24"/>
          <w:szCs w:val="24"/>
        </w:rPr>
        <w:t>Indien OCMW: Vast Bureau (VB) EN/OF Raad voor maatschappelijk Welzijn (OR/RMW)</w:t>
      </w:r>
    </w:p>
    <w:p w14:paraId="284F168D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D20DEE9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114799E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Besluit Zitting van  </w:t>
      </w:r>
    </w:p>
    <w:p w14:paraId="398A8EAC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3902219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B78C2BF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highlight w:val="yellow"/>
        </w:rPr>
      </w:pPr>
      <w:r>
        <w:rPr>
          <w:rFonts w:ascii="Verdana" w:eastAsia="Verdana" w:hAnsi="Verdana" w:cs="Verdana"/>
          <w:sz w:val="18"/>
          <w:szCs w:val="18"/>
          <w:highlight w:val="yellow"/>
        </w:rPr>
        <w:t xml:space="preserve">Onderwerp: </w:t>
      </w:r>
      <w:r>
        <w:rPr>
          <w:rFonts w:ascii="Verdana" w:eastAsia="Verdana" w:hAnsi="Verdana" w:cs="Verdana"/>
          <w:b/>
          <w:sz w:val="18"/>
          <w:szCs w:val="18"/>
          <w:highlight w:val="yellow"/>
        </w:rPr>
        <w:t>Goedkeuring indiening ESF-dossier 572  - Opstart Gemeenschapsdienst Lokale Besturen</w:t>
      </w:r>
    </w:p>
    <w:p w14:paraId="02D3CC91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25B8C7A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5D28E7D5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Beschrijving</w:t>
      </w:r>
    </w:p>
    <w:p w14:paraId="0552BA1D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1BA94F2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Juridische grond</w:t>
      </w:r>
    </w:p>
    <w:p w14:paraId="7DF0DA68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BF7C776" w14:textId="77777777" w:rsidR="007B6F6E" w:rsidRDefault="000E3F8B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Artikel 3 van het besluit van de Vlaamse Regering van 29 april 2022 tot bepaling van de lokale regierol van de gemeenten op het vlak van sociale economie en werk.</w:t>
      </w:r>
    </w:p>
    <w:p w14:paraId="0BABC121" w14:textId="77777777" w:rsidR="007B6F6E" w:rsidRDefault="000E3F8B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Conceptnota gemeenschapsdienst voor langdurig werkzoekenden van 10 december 2021.</w:t>
      </w:r>
    </w:p>
    <w:p w14:paraId="571CB87F" w14:textId="77777777" w:rsidR="007B6F6E" w:rsidRDefault="000E3F8B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Brief Vlaam</w:t>
      </w:r>
      <w:r>
        <w:rPr>
          <w:rFonts w:ascii="Verdana" w:eastAsia="Verdana" w:hAnsi="Verdana" w:cs="Verdana"/>
          <w:sz w:val="18"/>
          <w:szCs w:val="18"/>
        </w:rPr>
        <w:t>se Regering betreffende de gemeenschapsdienst en toekomst wijk-werken van 27 oktober 2022</w:t>
      </w:r>
    </w:p>
    <w:p w14:paraId="03DED21B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62F13DA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Aanleiding en context</w:t>
      </w:r>
    </w:p>
    <w:p w14:paraId="271954F5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1DD0EC7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color w:val="003399"/>
          <w:sz w:val="18"/>
          <w:szCs w:val="18"/>
        </w:rPr>
      </w:pPr>
      <w:r>
        <w:rPr>
          <w:rFonts w:ascii="Verdana" w:eastAsia="Verdana" w:hAnsi="Verdana" w:cs="Verdana"/>
          <w:color w:val="003399"/>
          <w:sz w:val="18"/>
          <w:szCs w:val="18"/>
        </w:rPr>
        <w:t>WAT</w:t>
      </w:r>
    </w:p>
    <w:p w14:paraId="688C9E9D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Met REACT EU-middelen willen we de lokale besturen ondersteunen in het opzetten van leerwerkplekken gemeenschapsdienst, in hun bijdrage aa</w:t>
      </w:r>
      <w:r>
        <w:rPr>
          <w:rFonts w:ascii="Verdana" w:eastAsia="Verdana" w:hAnsi="Verdana" w:cs="Verdana"/>
          <w:sz w:val="18"/>
          <w:szCs w:val="18"/>
        </w:rPr>
        <w:t>n de integratie van de meest kwetsbare doelgroepen op de arbeidsmarkt.</w:t>
      </w:r>
    </w:p>
    <w:p w14:paraId="75ADE152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AAA0365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 middelen voor deze actie worden voorzien vanuit Prioriteit 7, REACT-EU, Specifieke doelstelling 13 Bevordering van het crisisherstel COVID-19-pandemie.</w:t>
      </w:r>
    </w:p>
    <w:p w14:paraId="5751163A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CCE956C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We voorzien hiervoor in een opstartfinanciering om deze leerwerkplekken te faciliteren en te coördin</w:t>
      </w:r>
      <w:r>
        <w:rPr>
          <w:rFonts w:ascii="Verdana" w:eastAsia="Verdana" w:hAnsi="Verdana" w:cs="Verdana"/>
          <w:sz w:val="18"/>
          <w:szCs w:val="18"/>
        </w:rPr>
        <w:t>eren met de door de VDAB geselecteerde GLOW-partners. We stimuleren hiermee leerwerkplekken ter beschikking te stellen en hun ondersteuning kwaliteitsvol te organiseren.</w:t>
      </w:r>
    </w:p>
    <w:p w14:paraId="7C472EB7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1D8248E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color w:val="003399"/>
          <w:sz w:val="18"/>
          <w:szCs w:val="18"/>
        </w:rPr>
      </w:pPr>
      <w:r>
        <w:rPr>
          <w:rFonts w:ascii="Verdana" w:eastAsia="Verdana" w:hAnsi="Verdana" w:cs="Verdana"/>
          <w:color w:val="003399"/>
          <w:sz w:val="18"/>
          <w:szCs w:val="18"/>
        </w:rPr>
        <w:t>WIE</w:t>
      </w:r>
    </w:p>
    <w:p w14:paraId="6BFF4203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Het </w:t>
      </w:r>
      <w:r>
        <w:rPr>
          <w:rFonts w:ascii="Verdana" w:eastAsia="Verdana" w:hAnsi="Verdana" w:cs="Verdana"/>
          <w:i/>
          <w:sz w:val="18"/>
          <w:szCs w:val="18"/>
          <w:u w:val="single"/>
        </w:rPr>
        <w:t>indienen</w:t>
      </w:r>
      <w:r>
        <w:rPr>
          <w:rFonts w:ascii="Verdana" w:eastAsia="Verdana" w:hAnsi="Verdana" w:cs="Verdana"/>
          <w:sz w:val="18"/>
          <w:szCs w:val="18"/>
        </w:rPr>
        <w:t xml:space="preserve"> van een projectvoorstel is voorbehouden voor een individueel Vlaams </w:t>
      </w:r>
      <w:r>
        <w:rPr>
          <w:rFonts w:ascii="Verdana" w:eastAsia="Verdana" w:hAnsi="Verdana" w:cs="Verdana"/>
          <w:sz w:val="18"/>
          <w:szCs w:val="18"/>
        </w:rPr>
        <w:t xml:space="preserve">lokaal bestuur. Ieder lokaal bestuur kan 1 </w:t>
      </w:r>
      <w:proofErr w:type="spellStart"/>
      <w:r>
        <w:rPr>
          <w:rFonts w:ascii="Verdana" w:eastAsia="Verdana" w:hAnsi="Verdana" w:cs="Verdana"/>
          <w:sz w:val="18"/>
          <w:szCs w:val="18"/>
        </w:rPr>
        <w:t>lump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aanvragen, dit kan vanuit de rechtspersoonlijkheid als gemeente/stad/OCMW/ district. </w:t>
      </w:r>
    </w:p>
    <w:p w14:paraId="3A94528B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Waar districten van toepassing zijn, kan via de wettelijke basis erover een dossier per district worden ingediend.</w:t>
      </w:r>
    </w:p>
    <w:p w14:paraId="672F763C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2D7D08A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  <w:u w:val="single"/>
        </w:rPr>
        <w:t>uitvoering</w:t>
      </w:r>
      <w:r>
        <w:rPr>
          <w:rFonts w:ascii="Verdana" w:eastAsia="Verdana" w:hAnsi="Verdana" w:cs="Verdana"/>
          <w:sz w:val="18"/>
          <w:szCs w:val="18"/>
        </w:rPr>
        <w:t xml:space="preserve"> van het projectvoorstel kan toegewezen worden aan de regisseur sociale economie en werk, de wijk-werkorganisator, het intergemeentelijk samenwerkingsverband, de streekintercommunale,... </w:t>
      </w:r>
    </w:p>
    <w:p w14:paraId="4C67F175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AA6FF9A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color w:val="003399"/>
          <w:sz w:val="18"/>
          <w:szCs w:val="18"/>
        </w:rPr>
      </w:pPr>
      <w:r>
        <w:rPr>
          <w:rFonts w:ascii="Verdana" w:eastAsia="Verdana" w:hAnsi="Verdana" w:cs="Verdana"/>
          <w:color w:val="003399"/>
          <w:sz w:val="18"/>
          <w:szCs w:val="18"/>
        </w:rPr>
        <w:t>DOELGROEP</w:t>
      </w:r>
    </w:p>
    <w:p w14:paraId="03A89895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 doelgroep waarvoor deze opstart van gemeens</w:t>
      </w:r>
      <w:r>
        <w:rPr>
          <w:rFonts w:ascii="Verdana" w:eastAsia="Verdana" w:hAnsi="Verdana" w:cs="Verdana"/>
          <w:sz w:val="18"/>
          <w:szCs w:val="18"/>
        </w:rPr>
        <w:t xml:space="preserve">chapsdienst bedoeld is, is deze van werkzoekenden met een grote afstand tot de arbeidsmarkt waarvoor een intensief traject aangewezen is. </w:t>
      </w:r>
    </w:p>
    <w:p w14:paraId="75F2333D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7A4A451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 doelgroep bestaat uit uitkeringsgerechtigde werkzoekenden die minstens 2 jaar werkzoekend zijn en die nood hebben</w:t>
      </w:r>
      <w:r>
        <w:rPr>
          <w:rFonts w:ascii="Verdana" w:eastAsia="Verdana" w:hAnsi="Verdana" w:cs="Verdana"/>
          <w:sz w:val="18"/>
          <w:szCs w:val="18"/>
        </w:rPr>
        <w:t xml:space="preserve"> aan een  intensieve begeleiding en bemiddeling via inzet van werkplekleren om de brug naar duurzame tewerkstelling te maken. Deze nood vloeit voort uit onvoldoende arbeidsmatige zelfredzaamheid. </w:t>
      </w:r>
    </w:p>
    <w:p w14:paraId="3240ACB1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62DC00A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Deze werkzoekenden binnen gemeenschapsdienst hebben daaren</w:t>
      </w:r>
      <w:r>
        <w:rPr>
          <w:rFonts w:ascii="Verdana" w:eastAsia="Verdana" w:hAnsi="Verdana" w:cs="Verdana"/>
          <w:sz w:val="18"/>
          <w:szCs w:val="18"/>
        </w:rPr>
        <w:t>boven nood aan een laag intensieve opstap via een competentieversterkende actie (</w:t>
      </w:r>
      <w:proofErr w:type="spellStart"/>
      <w:r>
        <w:rPr>
          <w:rFonts w:ascii="Verdana" w:eastAsia="Verdana" w:hAnsi="Verdana" w:cs="Verdana"/>
          <w:sz w:val="18"/>
          <w:szCs w:val="18"/>
        </w:rPr>
        <w:t>werkervaringstage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min 32u per maand; max 64u per maand) binnen dit traject van werkplekleren.</w:t>
      </w:r>
    </w:p>
    <w:p w14:paraId="542D333F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513DC37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color w:val="003399"/>
          <w:sz w:val="18"/>
          <w:szCs w:val="18"/>
        </w:rPr>
      </w:pPr>
      <w:r>
        <w:rPr>
          <w:rFonts w:ascii="Verdana" w:eastAsia="Verdana" w:hAnsi="Verdana" w:cs="Verdana"/>
          <w:color w:val="003399"/>
          <w:sz w:val="18"/>
          <w:szCs w:val="18"/>
        </w:rPr>
        <w:t>HOE</w:t>
      </w:r>
    </w:p>
    <w:p w14:paraId="45F40C23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Een individueel lokaal bestuur moet een projectvoorstel indienen via de onli</w:t>
      </w:r>
      <w:r>
        <w:rPr>
          <w:rFonts w:ascii="Verdana" w:eastAsia="Verdana" w:hAnsi="Verdana" w:cs="Verdana"/>
          <w:sz w:val="18"/>
          <w:szCs w:val="18"/>
        </w:rPr>
        <w:t xml:space="preserve">ne ESF-applicatie </w:t>
      </w:r>
      <w:hyperlink r:id="rId8">
        <w:r>
          <w:rPr>
            <w:rFonts w:ascii="Verdana" w:eastAsia="Verdana" w:hAnsi="Verdana" w:cs="Verdana"/>
            <w:color w:val="1155CC"/>
            <w:sz w:val="18"/>
            <w:szCs w:val="18"/>
            <w:u w:val="single"/>
          </w:rPr>
          <w:t>https://esf.vlaanderen.be/</w:t>
        </w:r>
      </w:hyperlink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3E82729B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Een projectvoorstel wordt samengesteld door enerzijds het engagement om de vereiste acties uit te voeren en anderzijds het opvragen van de </w:t>
      </w:r>
      <w:proofErr w:type="spellStart"/>
      <w:r>
        <w:rPr>
          <w:rFonts w:ascii="Verdana" w:eastAsia="Verdana" w:hAnsi="Verdana" w:cs="Verdana"/>
          <w:sz w:val="18"/>
          <w:szCs w:val="18"/>
        </w:rPr>
        <w:t>lump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hiertoe. </w:t>
      </w:r>
    </w:p>
    <w:p w14:paraId="2D73809F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31A2535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color w:val="003399"/>
          <w:sz w:val="18"/>
          <w:szCs w:val="18"/>
        </w:rPr>
      </w:pPr>
      <w:r>
        <w:rPr>
          <w:rFonts w:ascii="Verdana" w:eastAsia="Verdana" w:hAnsi="Verdana" w:cs="Verdana"/>
          <w:color w:val="003399"/>
          <w:sz w:val="18"/>
          <w:szCs w:val="18"/>
        </w:rPr>
        <w:t>TIMING</w:t>
      </w:r>
    </w:p>
    <w:p w14:paraId="5D124D1A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 kunt een projectvoorstel binnen deze oproep indienen vanaf 1 januari 2023 tot en met vri</w:t>
      </w:r>
      <w:r>
        <w:rPr>
          <w:rFonts w:ascii="Verdana" w:eastAsia="Verdana" w:hAnsi="Verdana" w:cs="Verdana"/>
          <w:sz w:val="18"/>
          <w:szCs w:val="18"/>
        </w:rPr>
        <w:t>jdag 31 maart 2023 (middernacht) (uiterste indieningsdatum).</w:t>
      </w:r>
    </w:p>
    <w:p w14:paraId="2224B909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5DB58E5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Begin februari, maart en april 2023 worden de ingediende projectvoorstellen telkens in behandeling genomen. </w:t>
      </w:r>
    </w:p>
    <w:p w14:paraId="7AEE4618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203FF21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 beslissing wordt bekendgemaakt op het einde van die respectievelijke kalendermaan</w:t>
      </w:r>
      <w:r>
        <w:rPr>
          <w:rFonts w:ascii="Verdana" w:eastAsia="Verdana" w:hAnsi="Verdana" w:cs="Verdana"/>
          <w:sz w:val="18"/>
          <w:szCs w:val="18"/>
        </w:rPr>
        <w:t xml:space="preserve">den. </w:t>
      </w:r>
    </w:p>
    <w:p w14:paraId="0E5F6AEF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D961369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Het goedgekeurde project in deze oproep kent een uitvoeringstermijn tot uiterlijk 31 december 2023. Verlenging van de uitvoeringsperiode en/of uitstel van het opleveren van de vereiste output is niet mogelijk.</w:t>
      </w:r>
    </w:p>
    <w:p w14:paraId="01739304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9DBBB46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Vereisten</w:t>
      </w:r>
    </w:p>
    <w:p w14:paraId="0DAC3677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2B21D7E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color w:val="003399"/>
          <w:sz w:val="18"/>
          <w:szCs w:val="18"/>
        </w:rPr>
      </w:pPr>
      <w:r>
        <w:rPr>
          <w:rFonts w:ascii="Verdana" w:eastAsia="Verdana" w:hAnsi="Verdana" w:cs="Verdana"/>
          <w:color w:val="003399"/>
          <w:sz w:val="18"/>
          <w:szCs w:val="18"/>
        </w:rPr>
        <w:t>ACTIES EN OUTPUT</w:t>
      </w:r>
    </w:p>
    <w:p w14:paraId="26222F56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Deze doelgroep wo</w:t>
      </w:r>
      <w:r>
        <w:rPr>
          <w:rFonts w:ascii="Verdana" w:eastAsia="Verdana" w:hAnsi="Verdana" w:cs="Verdana"/>
          <w:sz w:val="18"/>
          <w:szCs w:val="18"/>
        </w:rPr>
        <w:t>rdt via leerwerkplekken ingeschakeld binnen de lokale diensten en wordt zo in de samenwerking tussen de GLOW-partner en het lokaal bestuur ondersteund richting arbeidsmarkt.</w:t>
      </w:r>
    </w:p>
    <w:p w14:paraId="087EB170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F69DC31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Volgende vereiste output worden binnen deze opstartperiode gerealiseerd:</w:t>
      </w:r>
    </w:p>
    <w:p w14:paraId="1B314115" w14:textId="77777777" w:rsidR="007B6F6E" w:rsidRDefault="000E3F8B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Een acti</w:t>
      </w:r>
      <w:r>
        <w:rPr>
          <w:rFonts w:ascii="Verdana" w:eastAsia="Verdana" w:hAnsi="Verdana" w:cs="Verdana"/>
          <w:sz w:val="18"/>
          <w:szCs w:val="18"/>
        </w:rPr>
        <w:t>ef aanbod van competentieversterkende leerwerkplekken aan de GLOW-partner (aantal bepaald via keuze voor small, medium, large of extra large).</w:t>
      </w:r>
    </w:p>
    <w:p w14:paraId="4B9A9114" w14:textId="77777777" w:rsidR="007B6F6E" w:rsidRDefault="000E3F8B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Een plan van aanpak met rollen en verantwoordelijkheden (</w:t>
      </w:r>
      <w:proofErr w:type="spellStart"/>
      <w:r>
        <w:rPr>
          <w:rFonts w:ascii="Verdana" w:eastAsia="Verdana" w:hAnsi="Verdana" w:cs="Verdana"/>
          <w:sz w:val="18"/>
          <w:szCs w:val="18"/>
        </w:rPr>
        <w:t>governance</w:t>
      </w:r>
      <w:proofErr w:type="spellEnd"/>
      <w:r>
        <w:rPr>
          <w:rFonts w:ascii="Verdana" w:eastAsia="Verdana" w:hAnsi="Verdana" w:cs="Verdana"/>
          <w:sz w:val="18"/>
          <w:szCs w:val="18"/>
        </w:rPr>
        <w:t>), dat het uitbouwen van de relatie met de GLO</w:t>
      </w:r>
      <w:r>
        <w:rPr>
          <w:rFonts w:ascii="Verdana" w:eastAsia="Verdana" w:hAnsi="Verdana" w:cs="Verdana"/>
          <w:sz w:val="18"/>
          <w:szCs w:val="18"/>
        </w:rPr>
        <w:t xml:space="preserve">W-partners, in functie van het ter beschikking stellen van leerwerkplekken voor gemeenschapsdienst, faciliteert. </w:t>
      </w:r>
    </w:p>
    <w:p w14:paraId="03BC8CED" w14:textId="77777777" w:rsidR="007B6F6E" w:rsidRDefault="000E3F8B">
      <w:pPr>
        <w:spacing w:after="0" w:line="240" w:lineRule="auto"/>
        <w:ind w:left="720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Bewijs van 1+2 via een per unieke leerwerkplek gemeenschapsdienst ingevulde fiche, afgetekend door de directe leidinggevende van de mentor, ve</w:t>
      </w:r>
      <w:r>
        <w:rPr>
          <w:rFonts w:ascii="Verdana" w:eastAsia="Verdana" w:hAnsi="Verdana" w:cs="Verdana"/>
          <w:i/>
          <w:sz w:val="18"/>
          <w:szCs w:val="18"/>
        </w:rPr>
        <w:t>rantwoordelijke HR of de algemeen directeur.</w:t>
      </w:r>
    </w:p>
    <w:p w14:paraId="73771FB5" w14:textId="77777777" w:rsidR="007B6F6E" w:rsidRDefault="000E3F8B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Het opleiden van mentoren (interne leerwerkplekbegeleiders) binnen het personeelsbestand van het lokaal bestuur (aantal bepaald via keuze voor small, medium, large of extra large). </w:t>
      </w:r>
    </w:p>
    <w:p w14:paraId="3C086B20" w14:textId="77777777" w:rsidR="007B6F6E" w:rsidRDefault="000E3F8B">
      <w:pPr>
        <w:spacing w:after="0" w:line="240" w:lineRule="auto"/>
        <w:ind w:left="720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Bewijs via certificaat van de</w:t>
      </w:r>
      <w:r>
        <w:rPr>
          <w:rFonts w:ascii="Verdana" w:eastAsia="Verdana" w:hAnsi="Verdana" w:cs="Verdana"/>
          <w:i/>
          <w:sz w:val="18"/>
          <w:szCs w:val="18"/>
        </w:rPr>
        <w:t>elname.</w:t>
      </w:r>
    </w:p>
    <w:p w14:paraId="2A027495" w14:textId="77777777" w:rsidR="007B6F6E" w:rsidRDefault="007B6F6E">
      <w:pPr>
        <w:spacing w:after="0" w:line="240" w:lineRule="auto"/>
        <w:ind w:left="720"/>
        <w:jc w:val="both"/>
        <w:rPr>
          <w:rFonts w:ascii="Verdana" w:eastAsia="Verdana" w:hAnsi="Verdana" w:cs="Verdana"/>
          <w:i/>
          <w:sz w:val="18"/>
          <w:szCs w:val="18"/>
        </w:rPr>
      </w:pPr>
    </w:p>
    <w:p w14:paraId="3B3F3652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Deze output is rechtstreeks gekoppeld aan de </w:t>
      </w:r>
      <w:proofErr w:type="spellStart"/>
      <w:r>
        <w:rPr>
          <w:rFonts w:ascii="Verdana" w:eastAsia="Verdana" w:hAnsi="Verdana" w:cs="Verdana"/>
          <w:sz w:val="18"/>
          <w:szCs w:val="18"/>
        </w:rPr>
        <w:t>lump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</w:p>
    <w:p w14:paraId="0313B87E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 methode van </w:t>
      </w:r>
      <w:proofErr w:type="spellStart"/>
      <w:r>
        <w:rPr>
          <w:rFonts w:ascii="Verdana" w:eastAsia="Verdana" w:hAnsi="Verdana" w:cs="Verdana"/>
          <w:sz w:val="18"/>
          <w:szCs w:val="18"/>
        </w:rPr>
        <w:t>lump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houdt een alles of niets principe in. Bij het voldoen aan de verwachte output in relatie met het gekozen engagement (S/M/L/XL </w:t>
      </w:r>
      <w:proofErr w:type="spellStart"/>
      <w:r>
        <w:rPr>
          <w:rFonts w:ascii="Verdana" w:eastAsia="Verdana" w:hAnsi="Verdana" w:cs="Verdana"/>
          <w:sz w:val="18"/>
          <w:szCs w:val="18"/>
        </w:rPr>
        <w:t>lump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) blijft de </w:t>
      </w:r>
      <w:proofErr w:type="spellStart"/>
      <w:r>
        <w:rPr>
          <w:rFonts w:ascii="Verdana" w:eastAsia="Verdana" w:hAnsi="Verdana" w:cs="Verdana"/>
          <w:sz w:val="18"/>
          <w:szCs w:val="18"/>
        </w:rPr>
        <w:t>lump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toegekend.  </w:t>
      </w:r>
    </w:p>
    <w:p w14:paraId="26995EF1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Bij het niet of deels voldoen aan de verwachte output wordt de </w:t>
      </w:r>
      <w:proofErr w:type="spellStart"/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ump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niet toegekend en het voorschot integraal teruggevorderd.</w:t>
      </w:r>
    </w:p>
    <w:p w14:paraId="64DBFAA0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62AAA02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DC8FF6C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Een lokaal bestuur kiest één van onderstaande formules van </w:t>
      </w:r>
      <w:proofErr w:type="spellStart"/>
      <w:r>
        <w:rPr>
          <w:rFonts w:ascii="Verdana" w:eastAsia="Verdana" w:hAnsi="Verdana" w:cs="Verdana"/>
          <w:sz w:val="18"/>
          <w:szCs w:val="18"/>
        </w:rPr>
        <w:t>lump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als te behalen output: </w:t>
      </w:r>
    </w:p>
    <w:p w14:paraId="72FB8CE7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2268"/>
        <w:gridCol w:w="2268"/>
        <w:gridCol w:w="2268"/>
      </w:tblGrid>
      <w:tr w:rsidR="007B6F6E" w14:paraId="4B13DDA9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5C60" w14:textId="77777777" w:rsidR="007B6F6E" w:rsidRDefault="007B6F6E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9C6C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Aantal leerwerkplekken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DB5D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Minimum aantal opgeleide mentoren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49A4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Lump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sum</w:t>
            </w:r>
            <w:proofErr w:type="spellEnd"/>
          </w:p>
        </w:tc>
      </w:tr>
      <w:tr w:rsidR="007B6F6E" w14:paraId="1DED90FB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885E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Small (S)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4E2C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C787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50FD3BD7" w14:textId="77777777" w:rsidR="007B6F6E" w:rsidRDefault="000E3F8B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7.396,84 euro</w:t>
            </w:r>
          </w:p>
        </w:tc>
      </w:tr>
      <w:tr w:rsidR="007B6F6E" w14:paraId="18E5FB06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FB9E9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Medium (M)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F97C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DBB8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6FCFFB3B" w14:textId="77777777" w:rsidR="007B6F6E" w:rsidRDefault="000E3F8B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14.793,69 euro</w:t>
            </w:r>
          </w:p>
        </w:tc>
      </w:tr>
      <w:tr w:rsidR="007B6F6E" w14:paraId="670F4B68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E0EF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Large (L)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FCCE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255B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6B48E893" w14:textId="77777777" w:rsidR="007B6F6E" w:rsidRDefault="000E3F8B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44.381,06 euro</w:t>
            </w:r>
          </w:p>
        </w:tc>
      </w:tr>
      <w:tr w:rsidR="007B6F6E" w14:paraId="2B9AB01C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C64C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Extra large (XL)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3291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C029" w14:textId="77777777" w:rsidR="007B6F6E" w:rsidRDefault="000E3F8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14:paraId="45D8DCC8" w14:textId="77777777" w:rsidR="007B6F6E" w:rsidRDefault="000E3F8B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96.158,96 euro</w:t>
            </w:r>
          </w:p>
        </w:tc>
      </w:tr>
    </w:tbl>
    <w:p w14:paraId="6862F8A3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</w:p>
    <w:p w14:paraId="37E97695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2770527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B0D6688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Regelgeving bevoegdheid</w:t>
      </w:r>
    </w:p>
    <w:p w14:paraId="4C23668B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521B525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Het college van burgemeester en schepenen EN/ OF de gemeenteraad is bevoegd op basis van artikel …. van het decreet lokaal bestuur. </w:t>
      </w:r>
    </w:p>
    <w:p w14:paraId="792F0D53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OF </w:t>
      </w:r>
    </w:p>
    <w:p w14:paraId="1D1F34E5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het Vast Bureau EN/ OF de Raad voor Maatschappelijk Welzijn is bevoegd op basis van artikel …. van het decreet lokaal bestuur. </w:t>
      </w:r>
    </w:p>
    <w:p w14:paraId="513D05E3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D17C75B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447CB80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Financiële en beleidsinformatie</w:t>
      </w:r>
    </w:p>
    <w:p w14:paraId="51568E05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932937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color w:val="003399"/>
          <w:sz w:val="18"/>
          <w:szCs w:val="18"/>
        </w:rPr>
      </w:pPr>
      <w:r>
        <w:rPr>
          <w:rFonts w:ascii="Verdana" w:eastAsia="Verdana" w:hAnsi="Verdana" w:cs="Verdana"/>
          <w:color w:val="003399"/>
          <w:sz w:val="18"/>
          <w:szCs w:val="18"/>
        </w:rPr>
        <w:t>FINANCIERING</w:t>
      </w:r>
    </w:p>
    <w:p w14:paraId="28A0DCD4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E446D2F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Voor de oproep ‘Opstart Gemeenschapsdienst lokale besturen’ is een budget besch</w:t>
      </w:r>
      <w:r>
        <w:rPr>
          <w:rFonts w:ascii="Verdana" w:eastAsia="Verdana" w:hAnsi="Verdana" w:cs="Verdana"/>
          <w:sz w:val="18"/>
          <w:szCs w:val="18"/>
        </w:rPr>
        <w:t>ikbaar van 5 miljoen euro Europese REACT EU-middelen. Deze behoeven geen cofinanciering. Dit dossier wordt gefinancierd door 100% REACT EU-middelen.</w:t>
      </w:r>
    </w:p>
    <w:p w14:paraId="621D83F1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Het ter beschikking gestelde budget per lokaal bestuur is afhankelijk van de gekozen </w:t>
      </w:r>
      <w:proofErr w:type="spellStart"/>
      <w:r>
        <w:rPr>
          <w:rFonts w:ascii="Verdana" w:eastAsia="Verdana" w:hAnsi="Verdana" w:cs="Verdana"/>
          <w:sz w:val="18"/>
          <w:szCs w:val="18"/>
        </w:rPr>
        <w:t>lump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formule (zie </w:t>
      </w:r>
      <w:r>
        <w:rPr>
          <w:rFonts w:ascii="Verdana" w:eastAsia="Verdana" w:hAnsi="Verdana" w:cs="Verdana"/>
          <w:sz w:val="18"/>
          <w:szCs w:val="18"/>
        </w:rPr>
        <w:t>bovenstaande kader).</w:t>
      </w:r>
    </w:p>
    <w:p w14:paraId="215BB13C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5AB07DD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Na ondertekening van de projectovereenkomst door de Managementautoriteit ESF ontvangt de gemeente/stad/ OCMW/ district onder de vorm van voorschot van Europa WSE 80% van de </w:t>
      </w:r>
      <w:proofErr w:type="spellStart"/>
      <w:r>
        <w:rPr>
          <w:rFonts w:ascii="Verdana" w:eastAsia="Verdana" w:hAnsi="Verdana" w:cs="Verdana"/>
          <w:sz w:val="18"/>
          <w:szCs w:val="18"/>
        </w:rPr>
        <w:t>lump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</w:p>
    <w:p w14:paraId="1D59848D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E3ED1D8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Zodra mogelijk en uiterlijk 31/12/2023 wordt de v</w:t>
      </w:r>
      <w:r>
        <w:rPr>
          <w:rFonts w:ascii="Verdana" w:eastAsia="Verdana" w:hAnsi="Verdana" w:cs="Verdana"/>
          <w:sz w:val="18"/>
          <w:szCs w:val="18"/>
        </w:rPr>
        <w:t>ereiste output opgeleverd.</w:t>
      </w:r>
    </w:p>
    <w:p w14:paraId="1B04FCED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 rapportering wordt ingediend via de ESF-applicatie. De output wordt opgeladen in de digitale ESF-archiefruimte( zie verder).</w:t>
      </w:r>
    </w:p>
    <w:p w14:paraId="2967BF14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C1A37D6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 de periode januari tot en met maart 2024 wordt de realisatie gecontroleerd door de Vlaamse Social</w:t>
      </w:r>
      <w:r>
        <w:rPr>
          <w:rFonts w:ascii="Verdana" w:eastAsia="Verdana" w:hAnsi="Verdana" w:cs="Verdana"/>
          <w:sz w:val="18"/>
          <w:szCs w:val="18"/>
        </w:rPr>
        <w:t xml:space="preserve">e Inspectie. Men zal de vereiste output ten behoeve van de aangevraagde </w:t>
      </w:r>
      <w:proofErr w:type="spellStart"/>
      <w:r>
        <w:rPr>
          <w:rFonts w:ascii="Verdana" w:eastAsia="Verdana" w:hAnsi="Verdana" w:cs="Verdana"/>
          <w:sz w:val="18"/>
          <w:szCs w:val="18"/>
        </w:rPr>
        <w:t>lump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controleren en beslissen of deze toegekend kan blijven of teruggevorderd wordt.</w:t>
      </w:r>
    </w:p>
    <w:p w14:paraId="64DCD0DA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645194F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3E8A492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Besluit</w:t>
      </w:r>
    </w:p>
    <w:p w14:paraId="2EFE49B6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C5E8855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1A10E15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Artikel 1</w:t>
      </w:r>
    </w:p>
    <w:p w14:paraId="1AA5F002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Het college van burgemeester en schepenen EN/ OF de gemeenteraad OF het Vast Bureau EN/ OF de Raad voor Maatschappelijk Welzijn keurt de indiening van het subsidiedossier “Opstart Gemeenschapsdienst Lokale Besturen" binnen het ESF-programma goed.</w:t>
      </w:r>
    </w:p>
    <w:p w14:paraId="6AF52EED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B163A43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Dit houd</w:t>
      </w:r>
      <w:r>
        <w:rPr>
          <w:rFonts w:ascii="Verdana" w:eastAsia="Verdana" w:hAnsi="Verdana" w:cs="Verdana"/>
          <w:sz w:val="18"/>
          <w:szCs w:val="18"/>
        </w:rPr>
        <w:t>t volgende in:</w:t>
      </w:r>
    </w:p>
    <w:p w14:paraId="7EC5FDD1" w14:textId="77777777" w:rsidR="007B6F6E" w:rsidRDefault="000E3F8B">
      <w:pPr>
        <w:numPr>
          <w:ilvl w:val="0"/>
          <w:numId w:val="3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Een engagement op de vermelde acties in de oproepfiche</w:t>
      </w:r>
    </w:p>
    <w:p w14:paraId="0CA74732" w14:textId="77777777" w:rsidR="007B6F6E" w:rsidRDefault="000E3F8B">
      <w:pPr>
        <w:numPr>
          <w:ilvl w:val="0"/>
          <w:numId w:val="3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 naleving van de projectovereenkomst ESF (als sjabloon toegevoegd bij de oproep)</w:t>
      </w:r>
    </w:p>
    <w:p w14:paraId="0862FDD8" w14:textId="77777777" w:rsidR="007B6F6E" w:rsidRDefault="000E3F8B">
      <w:pPr>
        <w:numPr>
          <w:ilvl w:val="0"/>
          <w:numId w:val="3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 eventuele machtiging aan xxx (regisseur regierol sociale economie en werk) tot registratie van het l</w:t>
      </w:r>
      <w:r>
        <w:rPr>
          <w:rFonts w:ascii="Verdana" w:eastAsia="Verdana" w:hAnsi="Verdana" w:cs="Verdana"/>
          <w:sz w:val="18"/>
          <w:szCs w:val="18"/>
        </w:rPr>
        <w:t>okaal bestuur, indiening van het dossier uiterlijk 31/03/2023 en rapportering van de output uiterlijk 31/12/2023.</w:t>
      </w:r>
    </w:p>
    <w:p w14:paraId="58B0EF2E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6D49BE5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Artikel 2</w:t>
      </w:r>
    </w:p>
    <w:p w14:paraId="756D4E0B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Het college van burgemeester en schepenen EN/ OF de gemeenteraad OF het Vast Bureau EN/ OF de Raad voor Maatschappelijk Welzijn maa</w:t>
      </w:r>
      <w:r>
        <w:rPr>
          <w:rFonts w:ascii="Verdana" w:eastAsia="Verdana" w:hAnsi="Verdana" w:cs="Verdana"/>
          <w:sz w:val="18"/>
          <w:szCs w:val="18"/>
        </w:rPr>
        <w:t xml:space="preserve">kt de keuze om de XXX (small/ medium/ large/ extra large) output te genereren. </w:t>
      </w:r>
    </w:p>
    <w:p w14:paraId="7D58027D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34647769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Artikel 3 (Optioneel tenzij men zelf instaat voor de uitvoering)</w:t>
      </w:r>
    </w:p>
    <w:p w14:paraId="0D45D6AE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Het college van burgemeester en schepenen EN/ OF de gemeenteraad OF het Vast Bureau EN/ OF de Raad voor Maatsc</w:t>
      </w:r>
      <w:r>
        <w:rPr>
          <w:rFonts w:ascii="Verdana" w:eastAsia="Verdana" w:hAnsi="Verdana" w:cs="Verdana"/>
          <w:sz w:val="18"/>
          <w:szCs w:val="18"/>
        </w:rPr>
        <w:t xml:space="preserve">happelijk Welzijn belast voor de uitvoering van het subsidiedossier “Opstart Gemeenschapsdienst Lokale Besturen" binnen het ESF-programma het intergemeentelijk samenwerkingsverband (ILV, PV, DVV, Welzijnsvereniging, ….) xxx (Regie sociale economie en Werk </w:t>
      </w:r>
      <w:r>
        <w:rPr>
          <w:rFonts w:ascii="Verdana" w:eastAsia="Verdana" w:hAnsi="Verdana" w:cs="Verdana"/>
          <w:sz w:val="18"/>
          <w:szCs w:val="18"/>
        </w:rPr>
        <w:t>OF de wijk-werkorganisator)</w:t>
      </w:r>
    </w:p>
    <w:p w14:paraId="4B499B64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1DB1E6C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Dit houdt in dat de financiële middelen na ontvangst worden overgedragen naar bovenvermelde uitvoerder.</w:t>
      </w:r>
    </w:p>
    <w:p w14:paraId="2E2AFFEF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2A9407A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Aldus beslist in bovenvermelde zitting,</w:t>
      </w:r>
    </w:p>
    <w:p w14:paraId="721B5B30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Namens het College van Burgemeester en Schepenen/ De gemeenteraad OF</w:t>
      </w:r>
    </w:p>
    <w:p w14:paraId="1E863C99" w14:textId="77777777" w:rsidR="007B6F6E" w:rsidRDefault="000E3F8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Namens het Vast Bureau/ de Raad voor Maatschappelijk Welzijn</w:t>
      </w:r>
    </w:p>
    <w:p w14:paraId="1ECF6C50" w14:textId="77777777" w:rsidR="007B6F6E" w:rsidRDefault="007B6F6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67AEB6B" w14:textId="77777777" w:rsidR="007B6F6E" w:rsidRDefault="000E3F8B"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sectPr w:rsidR="007B6F6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55D65"/>
    <w:multiLevelType w:val="multilevel"/>
    <w:tmpl w:val="74D2F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F01BDC"/>
    <w:multiLevelType w:val="multilevel"/>
    <w:tmpl w:val="21006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725193"/>
    <w:multiLevelType w:val="multilevel"/>
    <w:tmpl w:val="70DC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6E"/>
    <w:rsid w:val="000E3F8B"/>
    <w:rsid w:val="007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F2DD"/>
  <w15:docId w15:val="{0DCAE5D7-83B6-4A5B-9EC8-7A7AB05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650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3Char">
    <w:name w:val="Kop 3 Char"/>
    <w:basedOn w:val="Standaardalinea-lettertype"/>
    <w:link w:val="Kop3"/>
    <w:uiPriority w:val="9"/>
    <w:rsid w:val="00650806"/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paragraph" w:styleId="Normaalweb">
    <w:name w:val="Normal (Web)"/>
    <w:basedOn w:val="Standaard"/>
    <w:uiPriority w:val="99"/>
    <w:semiHidden/>
    <w:unhideWhenUsed/>
    <w:rsid w:val="0065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650806"/>
    <w:rPr>
      <w:color w:val="0000FF"/>
      <w:u w:val="singl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f.vlaanderen.b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3LCGLeJXsETlqGkQwNSjQAlXsg==">AMUW2mX84wCVK3bY6p6Dz7L4C9W1J/fVxylv8i6QGqDWU/Mrj9fjXVfxJ3bOblrw4YnYrot6Ob+VLtUuLGd0w0kCgWZzBlCabm0urHDIl9+WYKGaRLkNSKd7LTHE5sY8OKo9ADVnpbbc9ZUcKX6hcDpyZV0Znqtc3i5pyjpoXn0OkiWCWlJKeHRpPl4tR1yoA44qktt/k2V7wOTX+8HTCuDqpm2M5QaC8s1lAP/0EoYY0jW1S1OuQHq8eaZOhWjzIUO8+4X4PH0u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83687A728354C98717985D4FEE7F1" ma:contentTypeVersion="16" ma:contentTypeDescription="Een nieuw document maken." ma:contentTypeScope="" ma:versionID="61a8b8d817dbde5bc287b5cd93dff5bb">
  <xsd:schema xmlns:xsd="http://www.w3.org/2001/XMLSchema" xmlns:xs="http://www.w3.org/2001/XMLSchema" xmlns:p="http://schemas.microsoft.com/office/2006/metadata/properties" xmlns:ns2="3648d907-3586-47ba-afec-a4152d050875" xmlns:ns3="32f15174-c2be-4dd9-8c1f-9c8cb7adf6d0" xmlns:ns4="9a9ec0f0-7796-43d0-ac1f-4c8c46ee0bd1" targetNamespace="http://schemas.microsoft.com/office/2006/metadata/properties" ma:root="true" ma:fieldsID="afa355c8e75850b0eaa2e01dedd0fff1" ns2:_="" ns3:_="" ns4:_="">
    <xsd:import namespace="3648d907-3586-47ba-afec-a4152d050875"/>
    <xsd:import namespace="32f15174-c2be-4dd9-8c1f-9c8cb7adf6d0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8d907-3586-47ba-afec-a4152d050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15174-c2be-4dd9-8c1f-9c8cb7adf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8bf6cae-c3ee-4e49-908b-4c2c733b3cad}" ma:internalName="TaxCatchAll" ma:showField="CatchAllData" ma:web="3648d907-3586-47ba-afec-a4152d050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5122D4F-DA52-4065-A46C-1208F0E3C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EEE18-1320-44B6-9750-862989BF9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6983</Characters>
  <Application>Microsoft Office Word</Application>
  <DocSecurity>0</DocSecurity>
  <Lines>58</Lines>
  <Paragraphs>16</Paragraphs>
  <ScaleCrop>false</ScaleCrop>
  <Company>Vlaamse overheid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Contipelli Fabio</dc:creator>
  <cp:lastModifiedBy>Meyers Caroline</cp:lastModifiedBy>
  <cp:revision>2</cp:revision>
  <dcterms:created xsi:type="dcterms:W3CDTF">2023-03-03T16:38:00Z</dcterms:created>
  <dcterms:modified xsi:type="dcterms:W3CDTF">2023-03-03T16:38:00Z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0x01010090C9EF7C6476C640976C1F5F9CA93A79</vt:lpwstr>
  </property>
  <property fmtid="{D5CDD505-2E9C-101B-9397-08002B2CF9AE}" pid="3" name="MediaServiceImageTags">
    <vt:lpwstr/>
  </property>
</Properties>
</file>